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2023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ТАСКАТЛИНСКОГО СЕЛЬСКОГО ПОСЕЛЕНИЯ КОЛОСОВСКОГО МУНИЦИПАЛЬНОГО РАЙОНА ОМСКОЙ ОБЛАСТИ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ТАСКАТЛИНСКОГО СЕЛЬСКОГО ПОСЕЛЕНИЯ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646354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Омская обл, Колосовский р-н, село Таскатлы, ул Центральная, д 33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34797062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52621424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5516002900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1055567028659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0.5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0.5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Глава Таскатлинского сельского поселения Колосовского муниципального района Омской области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Лавренович    Геннадий    Иосифович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83816025332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nfcrfnks@mail.ru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1B5F7265DB2EA065A405B0D972A44D3B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Лавренович Геннадий Иосифович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28.11.2022 по 21.02.2024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